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87" w:rsidRPr="00446287" w:rsidRDefault="00446287" w:rsidP="00446287">
      <w:pPr>
        <w:shd w:val="clear" w:color="auto" w:fill="FFFFFF"/>
        <w:spacing w:before="240" w:after="84" w:line="240" w:lineRule="auto"/>
        <w:outlineLvl w:val="1"/>
        <w:rPr>
          <w:rFonts w:ascii="Arial" w:eastAsia="Times New Roman" w:hAnsi="Arial" w:cs="Arial"/>
          <w:b/>
          <w:bCs/>
          <w:color w:val="194254"/>
          <w:sz w:val="30"/>
          <w:szCs w:val="30"/>
          <w:lang w:eastAsia="cs-CZ"/>
        </w:rPr>
      </w:pPr>
      <w:r w:rsidRPr="00446287">
        <w:rPr>
          <w:rFonts w:ascii="Arial" w:eastAsia="Times New Roman" w:hAnsi="Arial" w:cs="Arial"/>
          <w:b/>
          <w:bCs/>
          <w:color w:val="194254"/>
          <w:sz w:val="30"/>
          <w:szCs w:val="30"/>
          <w:lang w:eastAsia="cs-CZ"/>
        </w:rPr>
        <w:t>Přehled poplatků (PHE) za recyklaci elektrospotřebičů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6545"/>
        <w:gridCol w:w="1326"/>
      </w:tblGrid>
      <w:tr w:rsidR="00446287" w:rsidRPr="00446287" w:rsidTr="00446287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20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20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Druhy zboží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20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Poplatek vč. DPH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telefony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 xml:space="preserve">mobilní telefony vč. příslušenství, sluchátka, pevné disky, </w:t>
            </w:r>
            <w:proofErr w:type="spellStart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flashdisky</w:t>
            </w:r>
            <w:proofErr w:type="spellEnd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 xml:space="preserve">, příslušenství k </w:t>
            </w:r>
            <w:proofErr w:type="spellStart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domacím</w:t>
            </w:r>
            <w:proofErr w:type="spellEnd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 xml:space="preserve"> spotřebičům a bílému zboží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1,- Kč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malé spotřebiče</w:t>
            </w: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br/>
              <w:t>(audio, video, navigace)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A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 xml:space="preserve">videokamery - příslušenství, </w:t>
            </w:r>
            <w:proofErr w:type="spellStart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VoIP</w:t>
            </w:r>
            <w:proofErr w:type="spellEnd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 xml:space="preserve"> a kancelářské telefony, diktafony, přenosné přehrávače (radiopřijímače a radiobudíky), MP3 přehrávače, navigační systémy, PDA, počítačové skříně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A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6,- Kč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malé spotřebiče</w:t>
            </w: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br/>
              <w:t>(bílé zboží)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 xml:space="preserve">kávovary, žehličky, sendvičovače, elektrické nože, mixery, roboty, toustovače, fritézy, varné konvice, ventilátory, kuchyňské váhy, fény, espressa, lis na citrusy, </w:t>
            </w:r>
            <w:proofErr w:type="spellStart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odšťovňovače</w:t>
            </w:r>
            <w:proofErr w:type="spellEnd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, domácí pekárny, mlýnky na maso, elektrické grily, sušičky potravin, fény, parní hrnce, zvlhčovače vzduchu, osobní péče (</w:t>
            </w:r>
            <w:proofErr w:type="gramStart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holící</w:t>
            </w:r>
            <w:proofErr w:type="gramEnd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 xml:space="preserve"> strojky, péče o vlasy, zubní kartáčky, osobní váhy, péče o tělo)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3,- Kč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počítače a příslušenství, DVB přijímače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A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čtečky paměťových karet, kopírky, tiskárny a multifunkční zařízení, notebooky a laptopy, PC sestavy, skenery, DVB přijímače, videokamery, faxy, přenosné přehrávače (radiomagnetofony), fotoaparáty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A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10,- Kč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vysavače, varné desky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mikrovlnné trouby, digestoře, vysavače, varné desky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12,- Kč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rekordéry a přehrávače, audio systémy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A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 xml:space="preserve">videorekordéry, CD a DVD přehrávače a rekordéry, hifi komponenty (AV </w:t>
            </w:r>
            <w:proofErr w:type="spellStart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receivery</w:t>
            </w:r>
            <w:proofErr w:type="spellEnd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, tunery, zesilovače) reprosoustavy, audio systémy, autorádia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A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30,- Kč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monitory a televizory do úhlopříčky 25"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monitory a televizory s úhlopříčkou max. 25" (63 cm)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33,- Kč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 xml:space="preserve">domácí kina, </w:t>
            </w:r>
            <w:proofErr w:type="spellStart"/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minidisky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A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 xml:space="preserve">herní konzole, </w:t>
            </w:r>
            <w:proofErr w:type="spellStart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minidisky</w:t>
            </w:r>
            <w:proofErr w:type="spellEnd"/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, projektory, domácí kina, záložní zdroje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A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61,- Kč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bílé zboží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sporáky, trouby, myčky nádobí, pračky a sušičky, ohřívače vody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66,- Kč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lastRenderedPageBreak/>
              <w:t>monitory a televize s uhlopříčkou nad 25"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A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monitory a televizory s úhlopříčkou nad 25" (63 cm)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A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202,- Kč</w:t>
            </w:r>
          </w:p>
        </w:tc>
      </w:tr>
      <w:tr w:rsidR="00446287" w:rsidRPr="00446287" w:rsidTr="0044628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ACACB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veškeré chlazení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ledničky, mrazáky, vinotéky a vitríny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105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446287" w:rsidRPr="00446287" w:rsidRDefault="00446287" w:rsidP="00446287">
            <w:pPr>
              <w:spacing w:before="312" w:after="24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  <w:r w:rsidRPr="004462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  <w:t>217,- Kč</w:t>
            </w:r>
          </w:p>
        </w:tc>
      </w:tr>
    </w:tbl>
    <w:p w:rsidR="009010E2" w:rsidRPr="00446287" w:rsidRDefault="009010E2" w:rsidP="00446287">
      <w:bookmarkStart w:id="0" w:name="_GoBack"/>
      <w:bookmarkEnd w:id="0"/>
    </w:p>
    <w:sectPr w:rsidR="009010E2" w:rsidRPr="00446287" w:rsidSect="001E06C8">
      <w:pgSz w:w="11906" w:h="16838" w:code="9"/>
      <w:pgMar w:top="1417" w:right="85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462"/>
    <w:multiLevelType w:val="hybridMultilevel"/>
    <w:tmpl w:val="23921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27"/>
    <w:rsid w:val="001E06C8"/>
    <w:rsid w:val="00446287"/>
    <w:rsid w:val="009010E2"/>
    <w:rsid w:val="00A26981"/>
    <w:rsid w:val="00F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46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F2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46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46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F2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46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dcterms:created xsi:type="dcterms:W3CDTF">2014-01-15T09:37:00Z</dcterms:created>
  <dcterms:modified xsi:type="dcterms:W3CDTF">2014-01-15T09:37:00Z</dcterms:modified>
</cp:coreProperties>
</file>